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6D" w:rsidRDefault="008C126D">
      <w:pPr>
        <w:pStyle w:val="Title"/>
        <w:rPr>
          <w:sz w:val="56"/>
          <w:szCs w:val="56"/>
        </w:rPr>
      </w:pPr>
      <w:r>
        <w:rPr>
          <w:sz w:val="56"/>
          <w:szCs w:val="56"/>
        </w:rPr>
        <w:t xml:space="preserve">Routt Catholic High School </w:t>
      </w:r>
      <w:r>
        <w:rPr>
          <w:sz w:val="56"/>
          <w:szCs w:val="56"/>
        </w:rPr>
        <w:tab/>
      </w:r>
    </w:p>
    <w:p w:rsidR="004D041E" w:rsidRPr="008C126D" w:rsidRDefault="00D00D6C">
      <w:pPr>
        <w:pStyle w:val="Title"/>
        <w:rPr>
          <w:sz w:val="56"/>
          <w:szCs w:val="56"/>
        </w:rPr>
      </w:pPr>
      <w:r w:rsidRPr="008C126D">
        <w:rPr>
          <w:sz w:val="56"/>
          <w:szCs w:val="56"/>
        </w:rPr>
        <w:t>Exempted Fundraising Days</w:t>
      </w:r>
    </w:p>
    <w:p w:rsidR="00D00D6C" w:rsidRDefault="00E40FB8" w:rsidP="00D00D6C">
      <w:pPr>
        <w:pStyle w:val="Heading1"/>
        <w:numPr>
          <w:ilvl w:val="0"/>
          <w:numId w:val="0"/>
        </w:numPr>
        <w:ind w:left="432" w:hanging="432"/>
      </w:pPr>
      <w:r>
        <w:t>Policy, Procedures and</w:t>
      </w:r>
      <w:r w:rsidR="00D00D6C">
        <w:t xml:space="preserve"> Application</w:t>
      </w:r>
    </w:p>
    <w:p w:rsidR="00D00D6C" w:rsidRDefault="00D00D6C" w:rsidP="00D00D6C">
      <w:r>
        <w:t>Beginning July 1, 2014, each participating school shall adhere to the competitive food standards for the sale of competitive food sold to students on the school campus of the participating schools during the school day, except as permitted under subsection (b). See 7 CFR 210.11 (2013).</w:t>
      </w:r>
    </w:p>
    <w:p w:rsidR="00D00D6C" w:rsidRDefault="00D00D6C" w:rsidP="00D00D6C">
      <w:r>
        <w:t>A participating school may annually have no more than the number of exempted fundraising days authorized in this subsection (b).</w:t>
      </w:r>
    </w:p>
    <w:p w:rsidR="00D00D6C" w:rsidRDefault="00D00D6C" w:rsidP="00D00D6C">
      <w:pPr>
        <w:pStyle w:val="ListParagraph"/>
        <w:numPr>
          <w:ilvl w:val="0"/>
          <w:numId w:val="13"/>
        </w:numPr>
      </w:pPr>
      <w:r>
        <w:t xml:space="preserve">For school year </w:t>
      </w:r>
      <w:r w:rsidRPr="008C126D">
        <w:rPr>
          <w:b/>
        </w:rPr>
        <w:t>2014-15</w:t>
      </w:r>
      <w:r>
        <w:t>, the number of exempted fundraising days shall be limited to:</w:t>
      </w:r>
    </w:p>
    <w:p w:rsidR="00D00D6C" w:rsidRDefault="008C126D" w:rsidP="00D00D6C">
      <w:pPr>
        <w:pStyle w:val="ListParagraph"/>
        <w:numPr>
          <w:ilvl w:val="0"/>
          <w:numId w:val="16"/>
        </w:numPr>
      </w:pPr>
      <w:r>
        <w:t>No more than nine (9) exempted fundraising days.</w:t>
      </w:r>
    </w:p>
    <w:p w:rsidR="008C126D" w:rsidRDefault="008C126D" w:rsidP="008C126D">
      <w:pPr>
        <w:pStyle w:val="ListParagraph"/>
        <w:ind w:left="360"/>
      </w:pPr>
    </w:p>
    <w:p w:rsidR="008C126D" w:rsidRDefault="008C126D" w:rsidP="008C126D">
      <w:pPr>
        <w:pStyle w:val="ListParagraph"/>
        <w:numPr>
          <w:ilvl w:val="0"/>
          <w:numId w:val="13"/>
        </w:numPr>
      </w:pPr>
      <w:r>
        <w:t xml:space="preserve">For school year </w:t>
      </w:r>
      <w:r w:rsidRPr="008C126D">
        <w:rPr>
          <w:b/>
        </w:rPr>
        <w:t>2015-16</w:t>
      </w:r>
      <w:r>
        <w:t>, the number of exempted fundraising days shall be limited to:</w:t>
      </w:r>
    </w:p>
    <w:p w:rsidR="008C126D" w:rsidRDefault="008C126D" w:rsidP="008C126D">
      <w:pPr>
        <w:pStyle w:val="ListParagraph"/>
        <w:numPr>
          <w:ilvl w:val="0"/>
          <w:numId w:val="16"/>
        </w:numPr>
      </w:pPr>
      <w:r>
        <w:t>No more than nine (9) exempted fundraising days.</w:t>
      </w:r>
    </w:p>
    <w:p w:rsidR="008C126D" w:rsidRDefault="008C126D" w:rsidP="008C126D">
      <w:pPr>
        <w:pStyle w:val="ListParagraph"/>
        <w:ind w:left="1440"/>
      </w:pPr>
    </w:p>
    <w:p w:rsidR="008C126D" w:rsidRDefault="008C126D" w:rsidP="008C126D">
      <w:pPr>
        <w:pStyle w:val="ListParagraph"/>
        <w:numPr>
          <w:ilvl w:val="0"/>
          <w:numId w:val="13"/>
        </w:numPr>
      </w:pPr>
      <w:r>
        <w:t xml:space="preserve">For school year </w:t>
      </w:r>
      <w:r w:rsidRPr="008C126D">
        <w:rPr>
          <w:b/>
        </w:rPr>
        <w:t>2016-17 and beyond</w:t>
      </w:r>
      <w:r>
        <w:t>, the number of exempted fundraising days shall be:</w:t>
      </w:r>
    </w:p>
    <w:p w:rsidR="008C126D" w:rsidRDefault="008C126D" w:rsidP="008C126D">
      <w:pPr>
        <w:pStyle w:val="ListParagraph"/>
        <w:numPr>
          <w:ilvl w:val="0"/>
          <w:numId w:val="16"/>
        </w:numPr>
      </w:pPr>
      <w:r>
        <w:t xml:space="preserve">Limited to no more than nine (9) exempted fundraising days. </w:t>
      </w:r>
      <w:r w:rsidR="00F768AF">
        <w:tab/>
      </w:r>
    </w:p>
    <w:p w:rsidR="00F768AF" w:rsidRDefault="00F768AF" w:rsidP="00F768AF">
      <w:pPr>
        <w:jc w:val="center"/>
      </w:pPr>
    </w:p>
    <w:p w:rsidR="00F768AF" w:rsidRPr="00F768AF" w:rsidRDefault="00F768AF" w:rsidP="00F768AF">
      <w:pPr>
        <w:jc w:val="center"/>
        <w:rPr>
          <w:b/>
        </w:rPr>
      </w:pPr>
      <w:r w:rsidRPr="00F768AF">
        <w:rPr>
          <w:b/>
        </w:rPr>
        <w:t>Routt Catholic High School</w:t>
      </w:r>
      <w:r w:rsidRPr="00F768AF">
        <w:rPr>
          <w:b/>
        </w:rPr>
        <w:t xml:space="preserve"> </w:t>
      </w:r>
    </w:p>
    <w:p w:rsidR="00F768AF" w:rsidRPr="00F768AF" w:rsidRDefault="00F768AF" w:rsidP="00F768AF">
      <w:pPr>
        <w:jc w:val="center"/>
        <w:rPr>
          <w:b/>
        </w:rPr>
      </w:pPr>
      <w:r>
        <w:rPr>
          <w:b/>
        </w:rPr>
        <w:t>Fundraising Procedures</w:t>
      </w:r>
      <w:r w:rsidRPr="00F768AF">
        <w:rPr>
          <w:b/>
        </w:rPr>
        <w:t xml:space="preserve"> </w:t>
      </w:r>
    </w:p>
    <w:p w:rsidR="00F768AF" w:rsidRDefault="00F768AF" w:rsidP="00F768AF">
      <w:r>
        <w:t xml:space="preserve">Procedure for </w:t>
      </w:r>
      <w:r>
        <w:t>conducting a fundraiser</w:t>
      </w:r>
      <w:r>
        <w:t>:</w:t>
      </w:r>
    </w:p>
    <w:p w:rsidR="00F768AF" w:rsidRDefault="00F768AF" w:rsidP="00F768AF">
      <w:r>
        <w:t xml:space="preserve"> 1. Complete and submit </w:t>
      </w:r>
      <w:r>
        <w:t xml:space="preserve">this application to the </w:t>
      </w:r>
      <w:r>
        <w:t>Principal</w:t>
      </w:r>
      <w:r>
        <w:t xml:space="preserve"> &amp; Food Director</w:t>
      </w:r>
      <w:r>
        <w:t xml:space="preserve"> </w:t>
      </w:r>
      <w:r w:rsidRPr="00F768AF">
        <w:rPr>
          <w:b/>
          <w:u w:val="single"/>
        </w:rPr>
        <w:t>at least two (2) weeks prior</w:t>
      </w:r>
      <w:r>
        <w:t xml:space="preserve"> t</w:t>
      </w:r>
      <w:r>
        <w:t>o the fundraiser start date.</w:t>
      </w:r>
    </w:p>
    <w:p w:rsidR="00F768AF" w:rsidRDefault="00F768AF" w:rsidP="00F768AF">
      <w:r>
        <w:t xml:space="preserve"> 2. </w:t>
      </w:r>
      <w:r w:rsidRPr="00F768AF">
        <w:rPr>
          <w:b/>
        </w:rPr>
        <w:t>DO NOT</w:t>
      </w:r>
      <w:r>
        <w:t xml:space="preserve"> commit to, promote, or purchase anything for the fundraiser until written permission has been granted from both the Building </w:t>
      </w:r>
      <w:r>
        <w:t>Principal and the Food Director.</w:t>
      </w:r>
    </w:p>
    <w:p w:rsidR="00F768AF" w:rsidRPr="00F768AF" w:rsidRDefault="00F768AF" w:rsidP="00F768AF">
      <w:r>
        <w:t>3. Food products for fundraising purposes MAY NOT</w:t>
      </w:r>
      <w:r>
        <w:t xml:space="preserve"> be sold at Routt Catholic High School from </w:t>
      </w:r>
      <w:r>
        <w:t xml:space="preserve">Midnight until 4:00 p.m., Monday through Friday. </w:t>
      </w:r>
      <w:r w:rsidRPr="00F768AF">
        <w:rPr>
          <w:b/>
        </w:rPr>
        <w:t xml:space="preserve">EXEMPTION: see </w:t>
      </w:r>
      <w:r>
        <w:rPr>
          <w:b/>
        </w:rPr>
        <w:t>number of exemption days above.</w:t>
      </w:r>
    </w:p>
    <w:p w:rsidR="00F768AF" w:rsidRDefault="00F768AF" w:rsidP="00F768AF">
      <w:r>
        <w:t xml:space="preserve"> 4. Food products for fundraising purposes MAY NOT be sold in any school cafeteria during any fo</w:t>
      </w:r>
      <w:r>
        <w:t>od service period (</w:t>
      </w:r>
      <w:r>
        <w:t xml:space="preserve">lunch). </w:t>
      </w:r>
    </w:p>
    <w:p w:rsidR="00F768AF" w:rsidRDefault="00F768AF" w:rsidP="00F768AF">
      <w:r>
        <w:t>5. Any organization that fails to abide strictly by these fundraising guidelines and procedures will be banned from coordinating any f</w:t>
      </w:r>
      <w:r>
        <w:t>undraising efforts through Routt Catholic High School</w:t>
      </w:r>
      <w:r>
        <w:t>, its personnel, and/or its students</w:t>
      </w:r>
      <w:r>
        <w:t>.</w:t>
      </w:r>
    </w:p>
    <w:p w:rsidR="00F768AF" w:rsidRDefault="00F768AF" w:rsidP="00F768AF">
      <w:bookmarkStart w:id="0" w:name="_GoBack"/>
      <w:bookmarkEnd w:id="0"/>
    </w:p>
    <w:p w:rsidR="00F768AF" w:rsidRPr="00F768AF" w:rsidRDefault="00F768AF" w:rsidP="00F768AF">
      <w:pPr>
        <w:jc w:val="center"/>
        <w:rPr>
          <w:b/>
          <w:sz w:val="40"/>
          <w:szCs w:val="40"/>
        </w:rPr>
      </w:pPr>
      <w:r w:rsidRPr="00F768AF">
        <w:rPr>
          <w:b/>
          <w:sz w:val="40"/>
          <w:szCs w:val="40"/>
        </w:rPr>
        <w:lastRenderedPageBreak/>
        <w:t>Routt Catholic High School</w:t>
      </w:r>
    </w:p>
    <w:p w:rsidR="00F768AF" w:rsidRDefault="00F768AF" w:rsidP="00F768AF">
      <w:pPr>
        <w:pBdr>
          <w:bottom w:val="single" w:sz="6" w:space="1" w:color="auto"/>
        </w:pBdr>
        <w:jc w:val="center"/>
        <w:rPr>
          <w:b/>
          <w:sz w:val="40"/>
          <w:szCs w:val="40"/>
        </w:rPr>
      </w:pPr>
      <w:r w:rsidRPr="00F768AF">
        <w:rPr>
          <w:b/>
          <w:sz w:val="40"/>
          <w:szCs w:val="40"/>
        </w:rPr>
        <w:t>Fundraising Application</w:t>
      </w:r>
    </w:p>
    <w:p w:rsidR="00F768AF" w:rsidRDefault="00F768AF" w:rsidP="00F768AF">
      <w:pPr>
        <w:rPr>
          <w:b/>
          <w:sz w:val="24"/>
          <w:szCs w:val="24"/>
        </w:rPr>
      </w:pPr>
      <w:r>
        <w:rPr>
          <w:b/>
          <w:sz w:val="24"/>
          <w:szCs w:val="24"/>
        </w:rPr>
        <w:t>DATE:</w:t>
      </w:r>
    </w:p>
    <w:p w:rsidR="00F768AF" w:rsidRDefault="00F768AF" w:rsidP="00F768AF">
      <w:pPr>
        <w:rPr>
          <w:b/>
          <w:sz w:val="24"/>
          <w:szCs w:val="24"/>
        </w:rPr>
      </w:pPr>
      <w:r>
        <w:rPr>
          <w:b/>
          <w:sz w:val="24"/>
          <w:szCs w:val="24"/>
        </w:rPr>
        <w:t>GROUP/ORGANIZATION:</w:t>
      </w:r>
    </w:p>
    <w:p w:rsidR="00F768AF" w:rsidRDefault="00F768AF" w:rsidP="00F768AF">
      <w:pPr>
        <w:rPr>
          <w:b/>
          <w:sz w:val="24"/>
          <w:szCs w:val="24"/>
        </w:rPr>
      </w:pPr>
      <w:r>
        <w:rPr>
          <w:b/>
          <w:sz w:val="24"/>
          <w:szCs w:val="24"/>
        </w:rPr>
        <w:t>FUNDRAISER (</w:t>
      </w:r>
      <w:r w:rsidRPr="00F768AF">
        <w:rPr>
          <w:b/>
          <w:i/>
          <w:sz w:val="24"/>
          <w:szCs w:val="24"/>
        </w:rPr>
        <w:t>please explain in detail</w:t>
      </w:r>
      <w:r>
        <w:rPr>
          <w:b/>
          <w:sz w:val="24"/>
          <w:szCs w:val="24"/>
        </w:rPr>
        <w:t>):</w:t>
      </w:r>
    </w:p>
    <w:p w:rsidR="00F768AF" w:rsidRDefault="00F768AF" w:rsidP="00F768AF">
      <w:pPr>
        <w:rPr>
          <w:b/>
          <w:sz w:val="24"/>
          <w:szCs w:val="24"/>
        </w:rPr>
      </w:pPr>
      <w:r>
        <w:rPr>
          <w:b/>
          <w:sz w:val="24"/>
          <w:szCs w:val="24"/>
        </w:rPr>
        <w:t>FUNDRAISER START DATE:</w:t>
      </w:r>
      <w:r>
        <w:rPr>
          <w:b/>
          <w:sz w:val="24"/>
          <w:szCs w:val="24"/>
        </w:rPr>
        <w:tab/>
      </w:r>
      <w:r>
        <w:rPr>
          <w:b/>
          <w:sz w:val="24"/>
          <w:szCs w:val="24"/>
        </w:rPr>
        <w:tab/>
      </w:r>
      <w:r>
        <w:rPr>
          <w:b/>
          <w:sz w:val="24"/>
          <w:szCs w:val="24"/>
        </w:rPr>
        <w:tab/>
      </w:r>
      <w:r>
        <w:rPr>
          <w:b/>
          <w:sz w:val="24"/>
          <w:szCs w:val="24"/>
        </w:rPr>
        <w:tab/>
      </w:r>
      <w:r>
        <w:rPr>
          <w:b/>
          <w:sz w:val="24"/>
          <w:szCs w:val="24"/>
        </w:rPr>
        <w:tab/>
        <w:t>FUNDRAISER END DATE:</w:t>
      </w:r>
    </w:p>
    <w:p w:rsidR="00F768AF" w:rsidRDefault="00F768AF" w:rsidP="00F768AF">
      <w:pPr>
        <w:rPr>
          <w:b/>
          <w:sz w:val="24"/>
          <w:szCs w:val="24"/>
        </w:rPr>
      </w:pPr>
      <w:r>
        <w:rPr>
          <w:b/>
          <w:sz w:val="24"/>
          <w:szCs w:val="24"/>
        </w:rPr>
        <w:t>ANTICIPATED PROFIT:</w:t>
      </w:r>
    </w:p>
    <w:p w:rsidR="00F768AF" w:rsidRDefault="00F768AF" w:rsidP="00F768AF">
      <w:pPr>
        <w:rPr>
          <w:b/>
          <w:sz w:val="24"/>
          <w:szCs w:val="24"/>
        </w:rPr>
      </w:pPr>
      <w:r>
        <w:rPr>
          <w:b/>
          <w:sz w:val="24"/>
          <w:szCs w:val="24"/>
        </w:rPr>
        <w:t>HOW PROFITS WILL BE UTILIZED:</w:t>
      </w:r>
    </w:p>
    <w:p w:rsidR="00F768AF" w:rsidRPr="00F768AF" w:rsidRDefault="00F768AF" w:rsidP="00F768AF">
      <w:pPr>
        <w:pStyle w:val="ListParagraph"/>
        <w:numPr>
          <w:ilvl w:val="0"/>
          <w:numId w:val="19"/>
        </w:numPr>
        <w:rPr>
          <w:b/>
          <w:sz w:val="24"/>
          <w:szCs w:val="24"/>
        </w:rPr>
      </w:pPr>
      <w:r>
        <w:rPr>
          <w:sz w:val="24"/>
          <w:szCs w:val="24"/>
        </w:rPr>
        <w:t>DOES THIS FUNDRAISER INVOLVE A FOOD PRODUCT?</w:t>
      </w:r>
    </w:p>
    <w:p w:rsidR="00F768AF" w:rsidRPr="00F768AF" w:rsidRDefault="00F768AF" w:rsidP="00F768AF">
      <w:pPr>
        <w:pStyle w:val="ListParagraph"/>
        <w:numPr>
          <w:ilvl w:val="0"/>
          <w:numId w:val="19"/>
        </w:numPr>
        <w:rPr>
          <w:b/>
          <w:sz w:val="24"/>
          <w:szCs w:val="24"/>
        </w:rPr>
      </w:pPr>
      <w:r>
        <w:rPr>
          <w:sz w:val="24"/>
          <w:szCs w:val="24"/>
        </w:rPr>
        <w:t xml:space="preserve">IS THE FOOD PRODUCT PRE-PACKAGED OR HOMEADE? </w:t>
      </w:r>
    </w:p>
    <w:p w:rsidR="00F768AF" w:rsidRPr="00F768AF" w:rsidRDefault="00F768AF" w:rsidP="00F768AF">
      <w:pPr>
        <w:pStyle w:val="ListParagraph"/>
        <w:numPr>
          <w:ilvl w:val="0"/>
          <w:numId w:val="19"/>
        </w:numPr>
        <w:rPr>
          <w:b/>
          <w:sz w:val="24"/>
          <w:szCs w:val="24"/>
        </w:rPr>
      </w:pPr>
      <w:r>
        <w:rPr>
          <w:sz w:val="24"/>
          <w:szCs w:val="24"/>
        </w:rPr>
        <w:t>WHEN/WHERE WILL THE FOOD PRODUCT BE SOLD?</w:t>
      </w:r>
    </w:p>
    <w:p w:rsidR="00F768AF" w:rsidRPr="00480C16" w:rsidRDefault="00F768AF" w:rsidP="00F768AF">
      <w:pPr>
        <w:pStyle w:val="ListParagraph"/>
        <w:numPr>
          <w:ilvl w:val="0"/>
          <w:numId w:val="19"/>
        </w:numPr>
        <w:rPr>
          <w:b/>
          <w:sz w:val="24"/>
          <w:szCs w:val="24"/>
        </w:rPr>
      </w:pPr>
      <w:r>
        <w:rPr>
          <w:sz w:val="24"/>
          <w:szCs w:val="24"/>
        </w:rPr>
        <w:t>DOES THE FOOD PRODUCT MEET THE USDA DEFINATION OF “HEALTHY SNACKS”?</w:t>
      </w:r>
    </w:p>
    <w:p w:rsidR="00480C16" w:rsidRPr="00480C16" w:rsidRDefault="00480C16" w:rsidP="00F768AF">
      <w:pPr>
        <w:pStyle w:val="ListParagraph"/>
        <w:numPr>
          <w:ilvl w:val="0"/>
          <w:numId w:val="19"/>
        </w:numPr>
        <w:rPr>
          <w:b/>
          <w:sz w:val="24"/>
          <w:szCs w:val="24"/>
        </w:rPr>
      </w:pPr>
      <w:r>
        <w:rPr>
          <w:sz w:val="24"/>
          <w:szCs w:val="24"/>
        </w:rPr>
        <w:t>WILL STUDENTS BE HANDLING CASH DURING THIS FUNDRAISER?</w:t>
      </w:r>
    </w:p>
    <w:p w:rsidR="00480C16" w:rsidRPr="00480C16" w:rsidRDefault="00480C16" w:rsidP="00F768AF">
      <w:pPr>
        <w:pStyle w:val="ListParagraph"/>
        <w:numPr>
          <w:ilvl w:val="0"/>
          <w:numId w:val="19"/>
        </w:numPr>
        <w:rPr>
          <w:b/>
          <w:sz w:val="24"/>
          <w:szCs w:val="24"/>
        </w:rPr>
      </w:pPr>
      <w:r>
        <w:rPr>
          <w:sz w:val="24"/>
          <w:szCs w:val="24"/>
        </w:rPr>
        <w:t>WHO WILL BE RESPONSIBLE FOR COLLECTING PAYMENTS?</w:t>
      </w:r>
    </w:p>
    <w:p w:rsidR="00480C16" w:rsidRDefault="00480C16" w:rsidP="00480C16">
      <w:pPr>
        <w:rPr>
          <w:b/>
          <w:sz w:val="24"/>
          <w:szCs w:val="24"/>
        </w:rPr>
      </w:pPr>
    </w:p>
    <w:p w:rsidR="00480C16" w:rsidRPr="00480C16" w:rsidRDefault="00480C16" w:rsidP="00480C16">
      <w:pPr>
        <w:jc w:val="center"/>
        <w:rPr>
          <w:b/>
          <w:sz w:val="40"/>
          <w:szCs w:val="40"/>
        </w:rPr>
      </w:pPr>
    </w:p>
    <w:p w:rsidR="00480C16" w:rsidRPr="00480C16" w:rsidRDefault="00480C16" w:rsidP="00480C16">
      <w:pPr>
        <w:ind w:firstLine="720"/>
        <w:jc w:val="center"/>
        <w:rPr>
          <w:b/>
          <w:sz w:val="40"/>
          <w:szCs w:val="40"/>
        </w:rPr>
      </w:pPr>
      <w:r w:rsidRPr="00480C16">
        <w:rPr>
          <w:b/>
          <w:sz w:val="40"/>
          <w:szCs w:val="40"/>
        </w:rPr>
        <w:t>APPROVED</w:t>
      </w:r>
      <w:r w:rsidRPr="00480C16">
        <w:rPr>
          <w:b/>
          <w:sz w:val="40"/>
          <w:szCs w:val="40"/>
        </w:rPr>
        <w:tab/>
      </w:r>
      <w:r w:rsidRPr="00480C16">
        <w:rPr>
          <w:b/>
          <w:sz w:val="40"/>
          <w:szCs w:val="40"/>
        </w:rPr>
        <w:tab/>
      </w:r>
      <w:r w:rsidRPr="00480C16">
        <w:rPr>
          <w:b/>
          <w:sz w:val="40"/>
          <w:szCs w:val="40"/>
        </w:rPr>
        <w:tab/>
      </w:r>
      <w:r w:rsidRPr="00480C16">
        <w:rPr>
          <w:b/>
          <w:sz w:val="40"/>
          <w:szCs w:val="40"/>
        </w:rPr>
        <w:tab/>
      </w:r>
      <w:r w:rsidRPr="00480C16">
        <w:rPr>
          <w:b/>
          <w:sz w:val="40"/>
          <w:szCs w:val="40"/>
        </w:rPr>
        <w:tab/>
        <w:t>NOT APPROVED</w:t>
      </w:r>
    </w:p>
    <w:p w:rsidR="00480C16" w:rsidRDefault="00480C16" w:rsidP="00480C16">
      <w:pPr>
        <w:ind w:firstLine="720"/>
        <w:jc w:val="center"/>
        <w:rPr>
          <w:b/>
          <w:sz w:val="24"/>
          <w:szCs w:val="24"/>
        </w:rPr>
      </w:pPr>
    </w:p>
    <w:p w:rsidR="00480C16" w:rsidRDefault="00480C16" w:rsidP="00480C16">
      <w:pPr>
        <w:ind w:firstLine="720"/>
        <w:jc w:val="center"/>
        <w:rPr>
          <w:b/>
          <w:sz w:val="28"/>
          <w:szCs w:val="28"/>
        </w:rPr>
      </w:pPr>
      <w:r w:rsidRPr="00480C16">
        <w:rPr>
          <w:b/>
          <w:sz w:val="28"/>
          <w:szCs w:val="28"/>
        </w:rPr>
        <w:t xml:space="preserve">HIGH SCHOOL EXEMPTION DAY# </w:t>
      </w:r>
      <w:r w:rsidRPr="00480C16">
        <w:rPr>
          <w:b/>
          <w:sz w:val="28"/>
          <w:szCs w:val="28"/>
        </w:rPr>
        <w:tab/>
        <w:t>1    2    3    4    5    6    7    8    9</w:t>
      </w:r>
    </w:p>
    <w:p w:rsidR="00480C16" w:rsidRDefault="00480C16" w:rsidP="00480C16">
      <w:pPr>
        <w:jc w:val="both"/>
        <w:rPr>
          <w:b/>
          <w:sz w:val="28"/>
          <w:szCs w:val="28"/>
        </w:rPr>
      </w:pPr>
    </w:p>
    <w:p w:rsidR="00480C16" w:rsidRDefault="00480C16" w:rsidP="00480C16">
      <w:pPr>
        <w:jc w:val="both"/>
        <w:rPr>
          <w:b/>
          <w:sz w:val="28"/>
          <w:szCs w:val="28"/>
        </w:rPr>
      </w:pPr>
      <w:r>
        <w:rPr>
          <w:b/>
          <w:sz w:val="28"/>
          <w:szCs w:val="28"/>
        </w:rPr>
        <w:t>SIGNATURE OF PRINCIPAL: ______________________________DATE:________</w:t>
      </w:r>
    </w:p>
    <w:p w:rsidR="00480C16" w:rsidRDefault="00480C16" w:rsidP="00480C16">
      <w:pPr>
        <w:jc w:val="both"/>
        <w:rPr>
          <w:b/>
          <w:sz w:val="28"/>
          <w:szCs w:val="28"/>
        </w:rPr>
      </w:pPr>
    </w:p>
    <w:p w:rsidR="00480C16" w:rsidRPr="00480C16" w:rsidRDefault="00480C16" w:rsidP="00480C16">
      <w:pPr>
        <w:jc w:val="both"/>
        <w:rPr>
          <w:b/>
          <w:sz w:val="28"/>
          <w:szCs w:val="28"/>
        </w:rPr>
      </w:pPr>
      <w:r>
        <w:rPr>
          <w:b/>
          <w:sz w:val="28"/>
          <w:szCs w:val="28"/>
        </w:rPr>
        <w:t>SIGNATURE OF FOOD DIRECTOR: _________________________DATE:________</w:t>
      </w:r>
    </w:p>
    <w:p w:rsidR="00480C16" w:rsidRPr="00480C16" w:rsidRDefault="00480C16" w:rsidP="00480C16">
      <w:pPr>
        <w:rPr>
          <w:b/>
          <w:sz w:val="24"/>
          <w:szCs w:val="24"/>
        </w:rPr>
      </w:pPr>
    </w:p>
    <w:p w:rsidR="00F768AF" w:rsidRDefault="00F768AF" w:rsidP="00F768AF"/>
    <w:p w:rsidR="00F768AF" w:rsidRDefault="00F768AF" w:rsidP="00F768AF"/>
    <w:p w:rsidR="00F768AF" w:rsidRDefault="00F768AF" w:rsidP="00F768AF"/>
    <w:p w:rsidR="00F768AF" w:rsidRDefault="00F768AF" w:rsidP="00F768AF"/>
    <w:p w:rsidR="00F768AF" w:rsidRDefault="00F768AF" w:rsidP="00F768AF"/>
    <w:p w:rsidR="00F768AF" w:rsidRDefault="00F768AF" w:rsidP="00F768AF"/>
    <w:p w:rsidR="00F768AF" w:rsidRPr="00D00D6C" w:rsidRDefault="00F768AF" w:rsidP="00F768AF"/>
    <w:sectPr w:rsidR="00F768AF" w:rsidRPr="00D00D6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6C" w:rsidRDefault="00D00D6C">
      <w:pPr>
        <w:spacing w:after="0" w:line="240" w:lineRule="auto"/>
      </w:pPr>
      <w:r>
        <w:separator/>
      </w:r>
    </w:p>
  </w:endnote>
  <w:endnote w:type="continuationSeparator" w:id="0">
    <w:p w:rsidR="00D00D6C" w:rsidRDefault="00D0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B2" w:rsidRDefault="00BD547F">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4-01T00:00:00Z">
                                <w:dateFormat w:val="MMMM d, yyyy"/>
                                <w:lid w:val="en-US"/>
                                <w:storeMappedDataAs w:val="dateTime"/>
                                <w:calendar w:val="gregorian"/>
                              </w:date>
                            </w:sdtPr>
                            <w:sdtContent>
                              <w:p w:rsidR="00BD547F" w:rsidRDefault="00BD547F">
                                <w:pPr>
                                  <w:jc w:val="right"/>
                                  <w:rPr>
                                    <w:color w:val="7F7F7F" w:themeColor="text1" w:themeTint="80"/>
                                  </w:rPr>
                                </w:pPr>
                                <w:r>
                                  <w:rPr>
                                    <w:color w:val="7F7F7F" w:themeColor="text1" w:themeTint="80"/>
                                  </w:rPr>
                                  <w:t>April 1, 2016</w:t>
                                </w:r>
                              </w:p>
                            </w:sdtContent>
                          </w:sdt>
                          <w:p w:rsidR="00BD547F" w:rsidRDefault="00BD547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4-01T00:00:00Z">
                          <w:dateFormat w:val="MMMM d, yyyy"/>
                          <w:lid w:val="en-US"/>
                          <w:storeMappedDataAs w:val="dateTime"/>
                          <w:calendar w:val="gregorian"/>
                        </w:date>
                      </w:sdtPr>
                      <w:sdtContent>
                        <w:p w:rsidR="00BD547F" w:rsidRDefault="00BD547F">
                          <w:pPr>
                            <w:jc w:val="right"/>
                            <w:rPr>
                              <w:color w:val="7F7F7F" w:themeColor="text1" w:themeTint="80"/>
                            </w:rPr>
                          </w:pPr>
                          <w:r>
                            <w:rPr>
                              <w:color w:val="7F7F7F" w:themeColor="text1" w:themeTint="80"/>
                            </w:rPr>
                            <w:t>April 1, 2016</w:t>
                          </w:r>
                        </w:p>
                      </w:sdtContent>
                    </w:sdt>
                    <w:p w:rsidR="00BD547F" w:rsidRDefault="00BD547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547F" w:rsidRDefault="00BD547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rsidR="00BD547F" w:rsidRDefault="00BD547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6C" w:rsidRDefault="00D00D6C">
      <w:pPr>
        <w:spacing w:after="0" w:line="240" w:lineRule="auto"/>
      </w:pPr>
      <w:r>
        <w:separator/>
      </w:r>
    </w:p>
  </w:footnote>
  <w:footnote w:type="continuationSeparator" w:id="0">
    <w:p w:rsidR="00D00D6C" w:rsidRDefault="00D00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196"/>
    <w:multiLevelType w:val="hybridMultilevel"/>
    <w:tmpl w:val="4E56C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B5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3464F9"/>
    <w:multiLevelType w:val="hybridMultilevel"/>
    <w:tmpl w:val="E752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53C17"/>
    <w:multiLevelType w:val="hybridMultilevel"/>
    <w:tmpl w:val="E120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F70A8"/>
    <w:multiLevelType w:val="multilevel"/>
    <w:tmpl w:val="E752D0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0C16B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270F39"/>
    <w:multiLevelType w:val="multilevel"/>
    <w:tmpl w:val="E752D0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1"/>
  </w:num>
  <w:num w:numId="15">
    <w:abstractNumId w:val="3"/>
  </w:num>
  <w:num w:numId="16">
    <w:abstractNumId w:val="0"/>
  </w:num>
  <w:num w:numId="17">
    <w:abstractNumId w:val="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6C"/>
    <w:rsid w:val="00480C16"/>
    <w:rsid w:val="004D041E"/>
    <w:rsid w:val="00580AB2"/>
    <w:rsid w:val="008C126D"/>
    <w:rsid w:val="00BD547F"/>
    <w:rsid w:val="00D00D6C"/>
    <w:rsid w:val="00E40FB8"/>
    <w:rsid w:val="00F768AF"/>
    <w:rsid w:val="00FF68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134A1-DC0F-4FF3-B19D-1D4D054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580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B2"/>
    <w:rPr>
      <w:rFonts w:ascii="Segoe UI" w:hAnsi="Segoe UI" w:cs="Segoe UI"/>
      <w:sz w:val="18"/>
      <w:szCs w:val="18"/>
    </w:rPr>
  </w:style>
  <w:style w:type="paragraph" w:styleId="Header">
    <w:name w:val="header"/>
    <w:basedOn w:val="Normal"/>
    <w:link w:val="HeaderChar"/>
    <w:uiPriority w:val="99"/>
    <w:unhideWhenUsed/>
    <w:rsid w:val="00580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B2"/>
  </w:style>
  <w:style w:type="paragraph" w:styleId="Footer">
    <w:name w:val="footer"/>
    <w:basedOn w:val="Normal"/>
    <w:link w:val="FooterChar"/>
    <w:uiPriority w:val="99"/>
    <w:unhideWhenUsed/>
    <w:rsid w:val="00580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t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2016-04-01T00:00:00</PublishDate>
  <Abstract/>
  <CompanyAddress/>
  <CompanyPhone/>
  <CompanyFax/>
  <CompanyEmail/>
</CoverPageProperti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A2C83508-716E-46C0-B016-FAF5167B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294</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Hoots, Michelle</dc:creator>
  <cp:keywords/>
  <dc:description/>
  <cp:lastModifiedBy>Hoots, Michelle</cp:lastModifiedBy>
  <cp:revision>2</cp:revision>
  <cp:lastPrinted>2016-04-22T19:07:00Z</cp:lastPrinted>
  <dcterms:created xsi:type="dcterms:W3CDTF">2016-04-22T14:14:00Z</dcterms:created>
  <dcterms:modified xsi:type="dcterms:W3CDTF">2016-04-22T19:09:00Z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